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8253" w14:textId="77777777" w:rsidR="003E18AF" w:rsidRPr="003E18AF" w:rsidRDefault="003E18AF" w:rsidP="00E26EAB">
      <w:pPr>
        <w:spacing w:before="60" w:after="6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18AF">
        <w:rPr>
          <w:rFonts w:ascii="Times New Roman" w:hAnsi="Times New Roman" w:cs="Times New Roman"/>
          <w:b/>
          <w:bCs/>
          <w:sz w:val="24"/>
          <w:szCs w:val="24"/>
        </w:rPr>
        <w:t>Регистрация на портале госуслуг</w:t>
      </w:r>
    </w:p>
    <w:p w14:paraId="0DB68CC3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Для участия в госзакупках руководитель организации, а также уполномоченные сотрудники должны иметь квалифицированную электронную подпись (КЭП), выпущенную одним из аккредитованных Министерством цифрового развития, связи и массовых коммуникаций удостоверяющих центров (УЦ). При заказе важно сообщить, что КЭП планируется использовать для участия в торгах от имени компании.  </w:t>
      </w:r>
    </w:p>
    <w:p w14:paraId="2F42C9D1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Руководитель и уполномоченные сотрудники также должны иметь подтвержденную учетную запись на портале «Госуслуги» либо подтвердить свою запись непосредственно перед процедурой регистрации в ЕИС с помощью КЭП. </w:t>
      </w:r>
    </w:p>
    <w:p w14:paraId="30451A83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Проведение предварительных настроек</w:t>
      </w:r>
    </w:p>
    <w:p w14:paraId="6616E748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1) Обновление средства криптографической защиты информации (СКЗИ) — при необходимости</w:t>
      </w:r>
    </w:p>
    <w:p w14:paraId="17B3B13E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2) Установка плагина для работы с порталом gosuslugi.ru</w:t>
      </w:r>
    </w:p>
    <w:p w14:paraId="63A34334" w14:textId="77777777" w:rsidR="007D0827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3)</w:t>
      </w:r>
      <w:r w:rsidR="00231539">
        <w:rPr>
          <w:rFonts w:ascii="Times New Roman" w:hAnsi="Times New Roman" w:cs="Times New Roman"/>
          <w:sz w:val="24"/>
          <w:szCs w:val="24"/>
        </w:rPr>
        <w:t xml:space="preserve"> </w:t>
      </w:r>
      <w:r w:rsidRPr="003E18AF">
        <w:rPr>
          <w:rFonts w:ascii="Times New Roman" w:hAnsi="Times New Roman" w:cs="Times New Roman"/>
          <w:sz w:val="24"/>
          <w:szCs w:val="24"/>
        </w:rPr>
        <w:t xml:space="preserve"> Настройка браузера</w:t>
      </w:r>
    </w:p>
    <w:p w14:paraId="09561E20" w14:textId="77777777" w:rsidR="003E18AF" w:rsidRPr="00231539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539">
        <w:rPr>
          <w:rFonts w:ascii="Times New Roman" w:hAnsi="Times New Roman" w:cs="Times New Roman"/>
          <w:sz w:val="24"/>
          <w:szCs w:val="24"/>
          <w:u w:val="single"/>
        </w:rPr>
        <w:t>Этапы регистрации в ЕИС</w:t>
      </w:r>
    </w:p>
    <w:p w14:paraId="47CE6B3F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1</w:t>
      </w:r>
      <w:r w:rsidR="00231539" w:rsidRPr="00231539">
        <w:rPr>
          <w:rFonts w:ascii="Times New Roman" w:hAnsi="Times New Roman" w:cs="Times New Roman"/>
          <w:sz w:val="24"/>
          <w:szCs w:val="24"/>
        </w:rPr>
        <w:t xml:space="preserve"> </w:t>
      </w:r>
      <w:r w:rsidRPr="003E18AF">
        <w:rPr>
          <w:rFonts w:ascii="Times New Roman" w:hAnsi="Times New Roman" w:cs="Times New Roman"/>
          <w:sz w:val="24"/>
          <w:szCs w:val="24"/>
        </w:rPr>
        <w:t>этап — Регистрация компании в ЕСИА (через официальный интернет-портал государственных услуг, портал «Госуслуги», gosuslugi.ru).</w:t>
      </w:r>
    </w:p>
    <w:p w14:paraId="54F51D83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2 этап — создание личного кабинета участника закупок в ЕИС (zakupki.gov.ru)</w:t>
      </w:r>
    </w:p>
    <w:p w14:paraId="5A7A0B52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 этап — продолжение регистрации в ЕРУЗ (eruz.zakupki.gov.ru)</w:t>
      </w:r>
    </w:p>
    <w:p w14:paraId="171135BD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Необходимые документы</w:t>
      </w:r>
    </w:p>
    <w:p w14:paraId="0A474B30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На данный момент окончательный регламент прохождения регистрации в ЕИС участников закупки еще не сформирован.</w:t>
      </w:r>
    </w:p>
    <w:p w14:paraId="6C1C1467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Специалисты утверждают, что перечень необходимых документов будет мало отличаться от бумаг, необходимых для аккредитации на электронных площадках. Запрашивать могут следующие документы:</w:t>
      </w:r>
    </w:p>
    <w:p w14:paraId="0C479474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- Устав для юридического лица или паспорт для физического лица и индивидуального предпринимателя. </w:t>
      </w:r>
    </w:p>
    <w:p w14:paraId="3116E24F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- Выписка из ЕГРЮЛ. Индивидуальные предприниматели должны будут предоставить выписку из ЕГРИП.</w:t>
      </w:r>
    </w:p>
    <w:p w14:paraId="55F4C511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- Документы, удостоверяющие полномочия руководителя компании. Для юридических лиц такой бумагой чаще выступает приказ о назначении директора на должность или выписка из Устава.</w:t>
      </w:r>
    </w:p>
    <w:p w14:paraId="2A390B3F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- Документы, удостоверяющие статус владельца цифровой подписи. Такая бумага прикладывается в том случае, если подпись выдана не на руководителя компании. </w:t>
      </w:r>
    </w:p>
    <w:p w14:paraId="69714334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- Доверенность на осуществление действий, если их осуществляет не руководитель фирмы, а ее сотрудник.</w:t>
      </w:r>
    </w:p>
    <w:p w14:paraId="392C217F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- Решение об одобрении крупных сделок. В бумаге прописывается максимальная сумма, на которую фирма может заключить контракт.</w:t>
      </w:r>
    </w:p>
    <w:p w14:paraId="6D0DC56C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Компании, проходящей регистрацию, нужно будет также указать юридический и почтовый адреса, телефоны и банковские реквизиты компании.</w:t>
      </w:r>
    </w:p>
    <w:p w14:paraId="445BBA98" w14:textId="77777777" w:rsidR="003E18AF" w:rsidRPr="00231539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539">
        <w:rPr>
          <w:rFonts w:ascii="Times New Roman" w:hAnsi="Times New Roman" w:cs="Times New Roman"/>
          <w:sz w:val="24"/>
          <w:szCs w:val="24"/>
          <w:u w:val="single"/>
        </w:rPr>
        <w:t>Открытие специального счета участников закупки</w:t>
      </w:r>
    </w:p>
    <w:p w14:paraId="0E122486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Спецсчет — это новое явление в контрактной системе. Его используют для обеспечения заявок, с него же списывается плата за победу. </w:t>
      </w:r>
    </w:p>
    <w:p w14:paraId="690FF135" w14:textId="52CCAF61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Распоряжения Правительства № 213-р и 214-р от 13.02.2019 внесли изменения в Распоряжение № 1451-р от 13.07.2018. Напомним, оно утвердило список банков, в которых участники закупок вправе открыть спецсчет для обеспечения заявок.</w:t>
      </w:r>
    </w:p>
    <w:p w14:paraId="23A577DD" w14:textId="77777777" w:rsidR="003E18AF" w:rsidRPr="003E18AF" w:rsidRDefault="003E18AF" w:rsidP="009D3D61">
      <w:pPr>
        <w:pStyle w:val="a3"/>
        <w:spacing w:before="60" w:after="60" w:line="240" w:lineRule="atLeast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Перечень банков, в которых возможно открытие спец счетов:</w:t>
      </w:r>
    </w:p>
    <w:p w14:paraId="1DF42B8F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Сбербанк России. </w:t>
      </w:r>
    </w:p>
    <w:p w14:paraId="3B37D15C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Банк ВТБ. </w:t>
      </w:r>
    </w:p>
    <w:p w14:paraId="67678A0A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lastRenderedPageBreak/>
        <w:t xml:space="preserve">Газпромбанк. </w:t>
      </w:r>
    </w:p>
    <w:p w14:paraId="0A2796C0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Российский Сельскохозяйственный банк. </w:t>
      </w:r>
    </w:p>
    <w:p w14:paraId="2BCEF38E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АЛЬФА-БАНК. </w:t>
      </w:r>
    </w:p>
    <w:p w14:paraId="3D626414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Московский кредитный банк.</w:t>
      </w:r>
    </w:p>
    <w:p w14:paraId="02A636C6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Банк «Финансовая Корпорация Открытие».</w:t>
      </w:r>
    </w:p>
    <w:p w14:paraId="3D9005CC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Райффайзенбанк.</w:t>
      </w:r>
    </w:p>
    <w:p w14:paraId="593B41F8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Росбанк. </w:t>
      </w:r>
    </w:p>
    <w:p w14:paraId="515EB649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Всероссийский банк развития регионов. </w:t>
      </w:r>
    </w:p>
    <w:p w14:paraId="3983FDA4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Промсвязьбанк. </w:t>
      </w:r>
    </w:p>
    <w:p w14:paraId="17A63E5E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Акционерный Банк «РОССИЯ». </w:t>
      </w:r>
    </w:p>
    <w:p w14:paraId="5FB3620E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«Санкт-Петербург». </w:t>
      </w:r>
    </w:p>
    <w:p w14:paraId="7FC59EFB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8AF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3E18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0F29A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Российский национальный коммерческий банк. </w:t>
      </w:r>
    </w:p>
    <w:p w14:paraId="1717DBAF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ОТП Банк. </w:t>
      </w:r>
    </w:p>
    <w:p w14:paraId="095384F8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8AF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Pr="003E18AF">
        <w:rPr>
          <w:rFonts w:ascii="Times New Roman" w:hAnsi="Times New Roman" w:cs="Times New Roman"/>
          <w:sz w:val="24"/>
          <w:szCs w:val="24"/>
        </w:rPr>
        <w:t xml:space="preserve"> Банк. </w:t>
      </w:r>
    </w:p>
    <w:p w14:paraId="6420E101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«Возрождение». </w:t>
      </w:r>
    </w:p>
    <w:p w14:paraId="5C64C512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«Тинькофф Банк». </w:t>
      </w:r>
    </w:p>
    <w:p w14:paraId="20E917FC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«АК БАРС». </w:t>
      </w:r>
    </w:p>
    <w:p w14:paraId="2949ED39" w14:textId="77777777" w:rsidR="003E18AF" w:rsidRPr="003E18AF" w:rsidRDefault="003E18AF" w:rsidP="00E26EAB">
      <w:pPr>
        <w:pStyle w:val="a3"/>
        <w:numPr>
          <w:ilvl w:val="0"/>
          <w:numId w:val="1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«Северный морской путь».</w:t>
      </w:r>
    </w:p>
    <w:p w14:paraId="141E72E9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Участники должны </w:t>
      </w:r>
      <w:hyperlink r:id="rId5" w:history="1">
        <w:r w:rsidRPr="003E18AF">
          <w:rPr>
            <w:rStyle w:val="a4"/>
            <w:rFonts w:ascii="Times New Roman" w:hAnsi="Times New Roman" w:cs="Times New Roman"/>
            <w:sz w:val="24"/>
            <w:szCs w:val="24"/>
          </w:rPr>
          <w:t xml:space="preserve">открыть </w:t>
        </w:r>
      </w:hyperlink>
      <w:hyperlink r:id="rId6" w:history="1">
        <w:r w:rsidRPr="003E18AF">
          <w:rPr>
            <w:rStyle w:val="a4"/>
            <w:rFonts w:ascii="Times New Roman" w:hAnsi="Times New Roman" w:cs="Times New Roman"/>
            <w:sz w:val="24"/>
            <w:szCs w:val="24"/>
          </w:rPr>
          <w:t>спецсчета</w:t>
        </w:r>
      </w:hyperlink>
      <w:hyperlink r:id="rId7" w:history="1">
        <w:r w:rsidRPr="003E18AF">
          <w:rPr>
            <w:rStyle w:val="a4"/>
            <w:rFonts w:ascii="Times New Roman" w:hAnsi="Times New Roman" w:cs="Times New Roman"/>
            <w:sz w:val="24"/>
            <w:szCs w:val="24"/>
          </w:rPr>
          <w:t xml:space="preserve"> в уполномоченных банках</w:t>
        </w:r>
      </w:hyperlink>
      <w:r w:rsidRPr="003E18AF">
        <w:rPr>
          <w:rFonts w:ascii="Times New Roman" w:hAnsi="Times New Roman" w:cs="Times New Roman"/>
          <w:sz w:val="24"/>
          <w:szCs w:val="24"/>
        </w:rPr>
        <w:t> либо использовать в качестве специальных уже имеющиеся в таких банках счета (для этого необходимо составить дополнительное соглашение).</w:t>
      </w:r>
    </w:p>
    <w:p w14:paraId="6F2B07E5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Когда поставщик принимает решение об участии в процедуре, он подает заявку на ЭТП. Оператор площадки принимает заявку и передает данные об участнике и необходимом обеспечении в банк, в котором у того открыт спецсчет. Информация направляется в течение одного часа.</w:t>
      </w:r>
    </w:p>
    <w:p w14:paraId="60DABF52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Банк проверяет, достаточное ли количество денежных средств находится на спецсчете участника. Если их недостаточно, то происходит следующее:</w:t>
      </w:r>
    </w:p>
    <w:p w14:paraId="42EA929E" w14:textId="77777777" w:rsidR="003E18AF" w:rsidRPr="003E18AF" w:rsidRDefault="003E18AF" w:rsidP="00E26EAB">
      <w:pPr>
        <w:numPr>
          <w:ilvl w:val="0"/>
          <w:numId w:val="2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банк сообщает оператору о нехватке денежных средств на счету поставщика;</w:t>
      </w:r>
    </w:p>
    <w:p w14:paraId="3C078B78" w14:textId="77777777" w:rsidR="003E18AF" w:rsidRPr="003E18AF" w:rsidRDefault="003E18AF" w:rsidP="00E26EAB">
      <w:pPr>
        <w:numPr>
          <w:ilvl w:val="0"/>
          <w:numId w:val="2"/>
        </w:num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ЭТП возвращает заявку участнику, объясняя причину отказа.</w:t>
      </w:r>
    </w:p>
    <w:p w14:paraId="087E4CCB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Если денег на счете хватает, то сумма обеспечения будет заблокирована после окончания срока подачи заявок.</w:t>
      </w:r>
    </w:p>
    <w:p w14:paraId="7054C52F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ab/>
        <w:t>Создание личного кабинета участника закупок в ЕИС (zakupki.gov.ru)</w:t>
      </w:r>
    </w:p>
    <w:p w14:paraId="7F1D9A2D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8AF">
        <w:rPr>
          <w:rFonts w:ascii="Times New Roman" w:hAnsi="Times New Roman" w:cs="Times New Roman"/>
          <w:sz w:val="24"/>
          <w:szCs w:val="24"/>
          <w:u w:val="single"/>
        </w:rPr>
        <w:t>Единая информационная система</w:t>
      </w:r>
    </w:p>
    <w:p w14:paraId="2DB0A52A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Личный кабинет ЕИС</w:t>
      </w:r>
    </w:p>
    <w:p w14:paraId="6CBCF6A0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В правой части шапки сайта руководитель переходит к выпадающему списку на кнопке «Личный кабинет» и выбирает «Личный кабинет участника закупок».</w:t>
      </w:r>
    </w:p>
    <w:p w14:paraId="284E4513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Регистрация нового участника закупок</w:t>
      </w:r>
    </w:p>
    <w:p w14:paraId="5DBCA193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Пользователь проходит авторизацию через «Госуслуги», выбрав один из сценариев: Регистрация нового участника закупок, Регистрация в качестве представителя участника закупок, зарегистрированного в ЕИС.</w:t>
      </w:r>
    </w:p>
    <w:p w14:paraId="288F5CAB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8AF">
        <w:rPr>
          <w:rFonts w:ascii="Times New Roman" w:hAnsi="Times New Roman" w:cs="Times New Roman"/>
          <w:i/>
          <w:iCs/>
          <w:sz w:val="24"/>
          <w:szCs w:val="24"/>
        </w:rPr>
        <w:t>Рекомендуем скачать подготовленную ЕИС презентацию </w:t>
      </w:r>
      <w:hyperlink r:id="rId8" w:history="1">
        <w:r w:rsidRPr="003E18AF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«Руководство пользователя. Личный кабинет участника закупок»</w:t>
        </w:r>
      </w:hyperlink>
      <w:r w:rsidRPr="003E18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E2E4EA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Подтверждение данных регистрации</w:t>
      </w:r>
    </w:p>
    <w:p w14:paraId="0174A1DB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Пользователь осуществляет выбор организации, подтверждает свое желание зарегистрироваться в ЕИС в качестве участника закупок от имени компании и предоставляет права доступа к данным организации.</w:t>
      </w:r>
    </w:p>
    <w:p w14:paraId="7271EE8D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Регистрация, переход в ЕРУЗ</w:t>
      </w:r>
    </w:p>
    <w:p w14:paraId="17D98692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 xml:space="preserve">Участник выбирает нужный сертификат электронной подписи, после чего происходит автоматическая отправка пользователя на </w:t>
      </w:r>
      <w:proofErr w:type="spellStart"/>
      <w:r w:rsidRPr="003E18AF">
        <w:rPr>
          <w:rFonts w:ascii="Times New Roman" w:hAnsi="Times New Roman" w:cs="Times New Roman"/>
          <w:sz w:val="24"/>
          <w:szCs w:val="24"/>
        </w:rPr>
        <w:t>поддомен</w:t>
      </w:r>
      <w:proofErr w:type="spellEnd"/>
      <w:r w:rsidRPr="003E18AF">
        <w:rPr>
          <w:rFonts w:ascii="Times New Roman" w:hAnsi="Times New Roman" w:cs="Times New Roman"/>
          <w:sz w:val="24"/>
          <w:szCs w:val="24"/>
        </w:rPr>
        <w:t xml:space="preserve"> ЕИС eruz.zakupki.gov.ru.</w:t>
      </w:r>
    </w:p>
    <w:p w14:paraId="0F0C4AE9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lastRenderedPageBreak/>
        <w:t>Продолжение регистрации в ЕРУЗ (eruz.zakupki.gov.ru)</w:t>
      </w:r>
    </w:p>
    <w:p w14:paraId="65A28523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Выгрузка выписки ЕГРЮЛ</w:t>
      </w:r>
    </w:p>
    <w:p w14:paraId="26DA8E45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После автоматического перехода на форму «Регистрация участника закупки» большинство данных юридического лица РФ уже заполнены системой. Пользователь вносит максимально возможную сумму для заключения контракта по результатам электронных процедур и указывает часовой пояс</w:t>
      </w:r>
    </w:p>
    <w:p w14:paraId="2990BEE4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Выписка из ЕГРЮЛ должна быть автоматически загружена системой. Если в вашем случае выписка прикреплена, то можно переходить к следующему пункту, если нет, то рекомендуем при возникновении ошибок незамедлительно обращаться в службу поддержки Единой информационной системы.</w:t>
      </w:r>
    </w:p>
    <w:p w14:paraId="30F7F1CB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3.2. Сведения о лицах</w:t>
      </w:r>
    </w:p>
    <w:p w14:paraId="3303BEBB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В разделе «Сведения о лицах, имеющих право без доверенности действовать от имени юридического лица» нужно внести вид документа, удостоверяющий личность и его реквизиты. Заполненные данные нужно сохранить.</w:t>
      </w:r>
    </w:p>
    <w:p w14:paraId="31B8D870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3.3. Документация</w:t>
      </w:r>
      <w:r w:rsidRPr="003E18AF">
        <w:rPr>
          <w:rFonts w:ascii="Times New Roman" w:hAnsi="Times New Roman" w:cs="Times New Roman"/>
          <w:sz w:val="24"/>
          <w:szCs w:val="24"/>
        </w:rPr>
        <w:br/>
        <w:t>После заполнения контактной информации следует прикрепить соответствующие файлы в раздел «Документация»:</w:t>
      </w:r>
    </w:p>
    <w:p w14:paraId="1B5405A0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— копии учредительных документов юридического лица: прошитый, пронумерованный, скрепленный печатью и подписью устав (все страницы);</w:t>
      </w:r>
    </w:p>
    <w:p w14:paraId="016882CD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— решение (копия решения) о согласии на совершение или о последующем одобрении крупных сделок по результатам электронных процедур от имени участника закупки — юридического лица с указанием максимальных параметров условий одной сделки.</w:t>
      </w:r>
    </w:p>
    <w:p w14:paraId="216EA461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3.4. Регистрация руководителя</w:t>
      </w:r>
    </w:p>
    <w:p w14:paraId="2CA4CFAB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Руководитель регистрирует пользователя (себя).</w:t>
      </w:r>
    </w:p>
    <w:p w14:paraId="49BF9B77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3.5. Регистрация других пользователей</w:t>
      </w:r>
    </w:p>
    <w:p w14:paraId="56BBF93C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Руководитель регистрирует пользователей организации.</w:t>
      </w:r>
    </w:p>
    <w:p w14:paraId="04556298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3.6. Проверка данных</w:t>
      </w:r>
    </w:p>
    <w:p w14:paraId="5AB414FE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На экране «Размещение информации в едином реестре участников закупок» пользователь проверяет правильность заявки: реквизиты и прочие данные, а также прикрепленные документы. В случае если все корректно, то переход на следующий экран осуществляется нажатием кнопки «Подписать и отправить».</w:t>
      </w:r>
    </w:p>
    <w:p w14:paraId="499641D1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3.7. Завершение</w:t>
      </w:r>
    </w:p>
    <w:p w14:paraId="2467DE32" w14:textId="77777777" w:rsid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Регистрация участника закупки в ЕИС и ЕРУЗ пройдена.</w:t>
      </w:r>
    </w:p>
    <w:p w14:paraId="3FC3F3E3" w14:textId="77777777" w:rsid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Автоматические письма о прохождении аккредитации на электронных торговых площадках приходят в течение нескольких часов</w:t>
      </w:r>
    </w:p>
    <w:p w14:paraId="5B702F7E" w14:textId="77777777" w:rsidR="00231539" w:rsidRPr="00231539" w:rsidRDefault="00231539" w:rsidP="00231539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539">
        <w:rPr>
          <w:rFonts w:ascii="Times New Roman" w:hAnsi="Times New Roman" w:cs="Times New Roman"/>
          <w:sz w:val="24"/>
          <w:szCs w:val="24"/>
          <w:u w:val="single"/>
        </w:rPr>
        <w:t>Поиск закупок.</w:t>
      </w:r>
    </w:p>
    <w:p w14:paraId="79DAE16B" w14:textId="77777777" w:rsidR="00231539" w:rsidRPr="00E26EAB" w:rsidRDefault="00231539" w:rsidP="00231539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1. Зайти на главную страницу ЕИС</w:t>
      </w:r>
    </w:p>
    <w:p w14:paraId="5D06AE3F" w14:textId="77777777" w:rsidR="00231539" w:rsidRDefault="00231539" w:rsidP="00231539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108C38" wp14:editId="0AE04AF7">
            <wp:extent cx="5636260" cy="2443851"/>
            <wp:effectExtent l="0" t="0" r="2540" b="0"/>
            <wp:docPr id="378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02" cy="245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781C6" w14:textId="77777777" w:rsidR="00231539" w:rsidRDefault="00231539" w:rsidP="002315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2. В контекстном меню системы выбрать раздел «Осуществление закупок», далее «Все закупки».</w:t>
      </w:r>
    </w:p>
    <w:p w14:paraId="0C1A6F6F" w14:textId="77777777" w:rsidR="00231539" w:rsidRDefault="00231539" w:rsidP="002315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89AB4" wp14:editId="3443D557">
            <wp:extent cx="5343525" cy="2283737"/>
            <wp:effectExtent l="0" t="0" r="0" b="2540"/>
            <wp:docPr id="389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45" cy="229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1BB61" w14:textId="77777777" w:rsidR="00231539" w:rsidRDefault="00231539" w:rsidP="002315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EAB">
        <w:rPr>
          <w:rFonts w:ascii="Times New Roman" w:hAnsi="Times New Roman" w:cs="Times New Roman"/>
          <w:sz w:val="24"/>
          <w:szCs w:val="24"/>
        </w:rPr>
        <w:t>3. Используя систему фильтров, указать параметры заказа.</w:t>
      </w:r>
    </w:p>
    <w:p w14:paraId="27EE7213" w14:textId="77777777" w:rsidR="00231539" w:rsidRPr="00E26EAB" w:rsidRDefault="00231539" w:rsidP="002315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C3E4D" wp14:editId="52CEE5B1">
            <wp:extent cx="5372100" cy="2928835"/>
            <wp:effectExtent l="0" t="0" r="0" b="5080"/>
            <wp:docPr id="399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Рисунок 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61" cy="29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B03DF" w14:textId="77777777" w:rsidR="00231539" w:rsidRDefault="00231539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021A2" w14:textId="77777777" w:rsidR="00231539" w:rsidRDefault="00231539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7105B" w14:textId="77777777" w:rsidR="00231539" w:rsidRDefault="00231539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B437E" w14:textId="77777777" w:rsidR="003E18AF" w:rsidRPr="003E18AF" w:rsidRDefault="003E18AF" w:rsidP="00E26EAB">
      <w:pPr>
        <w:spacing w:before="60" w:after="60" w:line="240" w:lineRule="atLeast"/>
        <w:ind w:left="6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в закупках по 44-ФЗ</w:t>
      </w:r>
    </w:p>
    <w:p w14:paraId="0869256C" w14:textId="35EDAB51" w:rsidR="003E18AF" w:rsidRPr="003E18AF" w:rsidRDefault="003E18AF" w:rsidP="00E26EAB">
      <w:pPr>
        <w:spacing w:before="60" w:after="60" w:line="24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Для участия в электронном аукционе по 44 ФЗ, требуется </w:t>
      </w:r>
      <w:r w:rsidRPr="00960AC6">
        <w:rPr>
          <w:rFonts w:ascii="Times New Roman" w:hAnsi="Times New Roman" w:cs="Times New Roman"/>
          <w:sz w:val="24"/>
          <w:szCs w:val="24"/>
        </w:rPr>
        <w:t>подготовить</w:t>
      </w:r>
      <w:r w:rsidRPr="003E18AF">
        <w:rPr>
          <w:rFonts w:ascii="Times New Roman" w:hAnsi="Times New Roman" w:cs="Times New Roman"/>
          <w:sz w:val="24"/>
          <w:szCs w:val="24"/>
        </w:rPr>
        <w:t xml:space="preserve"> и подать заявку на участие в аукционе. Для подачи заявки участник должен быть аккредитован на той электронной площадке, на которой заказчик разместил аукцион. На сегодняшний день заказчик по 44 </w:t>
      </w:r>
      <w:proofErr w:type="spellStart"/>
      <w:r w:rsidRPr="003E18AF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E18AF">
        <w:rPr>
          <w:rFonts w:ascii="Times New Roman" w:hAnsi="Times New Roman" w:cs="Times New Roman"/>
          <w:sz w:val="24"/>
          <w:szCs w:val="24"/>
        </w:rPr>
        <w:t>, имеет возможность размещать закупки на нескольких электронных площадках.</w:t>
      </w:r>
    </w:p>
    <w:p w14:paraId="44CD623F" w14:textId="77777777" w:rsidR="003E18AF" w:rsidRPr="003E18AF" w:rsidRDefault="003E18AF" w:rsidP="00E26EAB">
      <w:pPr>
        <w:spacing w:before="60" w:after="60" w:line="24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Сама заявка участника аукциона состоит из 2-х частей, которые подаются на электронную площадку одновременно, и тут заполнение первой части заявки играет первостепенную роль.</w:t>
      </w:r>
    </w:p>
    <w:p w14:paraId="163EE5B4" w14:textId="0C766FAC" w:rsidR="003E18AF" w:rsidRPr="003E18AF" w:rsidRDefault="003E18AF" w:rsidP="00E26EAB">
      <w:pPr>
        <w:spacing w:before="60" w:after="60" w:line="24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C6">
        <w:rPr>
          <w:rFonts w:ascii="Times New Roman" w:hAnsi="Times New Roman" w:cs="Times New Roman"/>
          <w:sz w:val="24"/>
          <w:szCs w:val="24"/>
        </w:rPr>
        <w:t>Подготовка заявки</w:t>
      </w:r>
      <w:r w:rsidRPr="003E18AF">
        <w:rPr>
          <w:rFonts w:ascii="Times New Roman" w:hAnsi="Times New Roman" w:cs="Times New Roman"/>
          <w:sz w:val="24"/>
          <w:szCs w:val="24"/>
        </w:rPr>
        <w:t> 44 ФЗ (первая часть), может содержать различные составляющие, в зависимости от того, в каком аукционе участник будет участвовать, поставка товара или выполнение работ и оказание услуг.</w:t>
      </w:r>
    </w:p>
    <w:p w14:paraId="05FEE391" w14:textId="77777777" w:rsidR="003E18AF" w:rsidRPr="003E18AF" w:rsidRDefault="003E18AF" w:rsidP="00E26EAB">
      <w:pPr>
        <w:spacing w:before="60" w:after="60" w:line="24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При поставке товара подготовка 1 части заявки обычно включает в себя указание характеристик товаров. При выполнении работ подготовка 1 части включает в себя указание характеристик материалов, используемых при выполнении работ, при оказании услуг подготовка 1 части зачастую составляет лишь заполнение согласия участника на условия заказчика, форма заявки бывает установлена заказчиком в аукционной документации, либо участник ставит галочку на электронной площадке, где уже установлено типовое согласие.</w:t>
      </w:r>
    </w:p>
    <w:p w14:paraId="1E6CD57E" w14:textId="77777777" w:rsidR="003E18AF" w:rsidRPr="003E18AF" w:rsidRDefault="003E18AF" w:rsidP="00E26EAB">
      <w:pPr>
        <w:spacing w:before="60" w:after="60" w:line="24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Подготовка второй части заявки обычно не вызывает трудностей у участников закупок. Но и со второй частью заявки на участие в аукционе иногда возникают сложности. Для полноты картины приведем несколько примеров со сложностями по 2-й части заявки из практики Госзакупок. (Заявка 44 ФЗ)</w:t>
      </w:r>
    </w:p>
    <w:p w14:paraId="504715DE" w14:textId="77777777" w:rsid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E18AF">
        <w:rPr>
          <w:rFonts w:ascii="Times New Roman" w:hAnsi="Times New Roman" w:cs="Times New Roman"/>
          <w:sz w:val="24"/>
          <w:szCs w:val="24"/>
        </w:rPr>
        <w:t xml:space="preserve">одготовка заявки по 44 </w:t>
      </w:r>
      <w:r w:rsidR="00E26EAB" w:rsidRPr="003E18AF">
        <w:rPr>
          <w:rFonts w:ascii="Times New Roman" w:hAnsi="Times New Roman" w:cs="Times New Roman"/>
          <w:sz w:val="24"/>
          <w:szCs w:val="24"/>
        </w:rPr>
        <w:t>ФЗ</w:t>
      </w:r>
      <w:r w:rsidRPr="003E1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поставку товара</w:t>
      </w:r>
    </w:p>
    <w:p w14:paraId="521ED058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а) При заполнении документов, заполнении первой части заявки, в соответствии с 44 ФЗ на электронный аукцион по поставке товара заявка должна содержать согласие участника на поставку товара в случае наличия в аукционной документации заказчика указания на товарный знак, наименование места происхождения товара, наименование производителя товара, в документации имеются значения эквивалентности и товар участника соответствует значениям эквивалентности установленным заказчиком.</w:t>
      </w:r>
    </w:p>
    <w:p w14:paraId="032BB2FD" w14:textId="77777777" w:rsidR="003E18AF" w:rsidRPr="003E18AF" w:rsidRDefault="003E18AF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8AF">
        <w:rPr>
          <w:rFonts w:ascii="Times New Roman" w:hAnsi="Times New Roman" w:cs="Times New Roman"/>
          <w:sz w:val="24"/>
          <w:szCs w:val="24"/>
        </w:rPr>
        <w:t>б) Если заказчик установил в техническом задании или другой документации перечень конкретных показателей которым должен соответствовать товар, участник закупки обязан должен при подготовке заявки указать показатели товара, который он предлагает к поставке, его товарный знак (при наличии) и страну происхождения товара или наименование производителя, рекомендуем указывать в том числе </w:t>
      </w:r>
      <w:hyperlink r:id="rId12" w:history="1">
        <w:r w:rsidRPr="003E18AF">
          <w:rPr>
            <w:rStyle w:val="a4"/>
            <w:rFonts w:ascii="Times New Roman" w:hAnsi="Times New Roman" w:cs="Times New Roman"/>
            <w:sz w:val="24"/>
            <w:szCs w:val="24"/>
          </w:rPr>
          <w:t>страну в которой находится производитель, при наличии ограничений и преференций по ст. 14 44 ФЗ</w:t>
        </w:r>
      </w:hyperlink>
      <w:r w:rsidRPr="003E18AF">
        <w:rPr>
          <w:rFonts w:ascii="Times New Roman" w:hAnsi="Times New Roman" w:cs="Times New Roman"/>
          <w:sz w:val="24"/>
          <w:szCs w:val="24"/>
        </w:rPr>
        <w:t>.</w:t>
      </w:r>
    </w:p>
    <w:p w14:paraId="3E7E406B" w14:textId="77777777" w:rsidR="003E18AF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Подготовка заявки по 44 ФЗ на выполнение работ или оказание услуг, для производства которых применяется товар</w:t>
      </w:r>
    </w:p>
    <w:p w14:paraId="0C7A1EAB" w14:textId="7777777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а) При заполнении документов на электронный аукцион, заполнении первой части заявки опять же требуется согласие участника закупки, в том числе на применение товара, в отношении которого в технической документации имеется указание на товарный знак, на патент, страну происхождения товара. Конкретные показатели товара (материала), которые участник закупки собирается применить при выполнении работ, оказании услуг и в отношении которых заказчик требует указать данные показатели.</w:t>
      </w:r>
    </w:p>
    <w:p w14:paraId="43F74FC7" w14:textId="17DB72E5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Показатели, указанные участником</w:t>
      </w:r>
      <w:r w:rsidR="00960AC6">
        <w:rPr>
          <w:rFonts w:ascii="Times New Roman" w:hAnsi="Times New Roman" w:cs="Times New Roman"/>
          <w:sz w:val="24"/>
          <w:szCs w:val="24"/>
        </w:rPr>
        <w:t xml:space="preserve"> </w:t>
      </w:r>
      <w:r w:rsidRPr="00E26EAB">
        <w:rPr>
          <w:rFonts w:ascii="Times New Roman" w:hAnsi="Times New Roman" w:cs="Times New Roman"/>
          <w:sz w:val="24"/>
          <w:szCs w:val="24"/>
        </w:rPr>
        <w:t>закупки должны совпадать с показателями материалов, требующихся заказчику.</w:t>
      </w:r>
    </w:p>
    <w:p w14:paraId="01BC4DFA" w14:textId="77777777" w:rsid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В документации также необходимо указать сведения о товарном знаке (при наличии), стране происхождения товара.</w:t>
      </w:r>
    </w:p>
    <w:p w14:paraId="30082AA4" w14:textId="7777777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б) Заказчик, в соответствии с 44 ФЗ, может в своих требованиях к первой части ограничиться только согласием.</w:t>
      </w:r>
    </w:p>
    <w:p w14:paraId="44589F9C" w14:textId="7777777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Эти документы размещаются на электронной площадке, в соответствии с её регламентом, и нормами 44-ФЗ</w:t>
      </w:r>
    </w:p>
    <w:p w14:paraId="16EFFFD6" w14:textId="77777777" w:rsid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Подача заявки на примере ЭТП «РТС – Тендер»</w:t>
      </w:r>
    </w:p>
    <w:p w14:paraId="10367841" w14:textId="7777777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lastRenderedPageBreak/>
        <w:t>а) При заполнении документов на электронный аукцион, заполнении первой части заявки опять же требуется согласие участника закупки, в том числе на применение товара, в отношении которого в технической документации имеется указание на товарный знак, на патент, страну происхождения товара. Конкретные показатели товара (материала), которые участник закупки собирается применить при выполнении работ, оказании услуг и в отношении которых заказчик требует указать данные показатели.</w:t>
      </w:r>
    </w:p>
    <w:p w14:paraId="14B02258" w14:textId="386DC6E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Показатели, указанные участником</w:t>
      </w:r>
      <w:r w:rsidR="00960AC6">
        <w:rPr>
          <w:rFonts w:ascii="Times New Roman" w:hAnsi="Times New Roman" w:cs="Times New Roman"/>
          <w:sz w:val="24"/>
          <w:szCs w:val="24"/>
        </w:rPr>
        <w:t xml:space="preserve"> </w:t>
      </w:r>
      <w:r w:rsidRPr="00E26EAB">
        <w:rPr>
          <w:rFonts w:ascii="Times New Roman" w:hAnsi="Times New Roman" w:cs="Times New Roman"/>
          <w:sz w:val="24"/>
          <w:szCs w:val="24"/>
        </w:rPr>
        <w:t>закупки должны совпадать с показателями материалов, требующихся заказчику.</w:t>
      </w:r>
    </w:p>
    <w:p w14:paraId="44223D72" w14:textId="7777777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В документации также необходимо указать сведения о товарном знаке (при наличии), стране происхождения товара.</w:t>
      </w:r>
    </w:p>
    <w:p w14:paraId="709C1015" w14:textId="77777777" w:rsidR="00E26EAB" w:rsidRP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б) Заказчик, в соответствии с 44 ФЗ, может в своих требованиях к первой части ограничиться только согласием.</w:t>
      </w:r>
    </w:p>
    <w:p w14:paraId="2E21F562" w14:textId="77777777" w:rsidR="00E26EAB" w:rsidRDefault="00E26EAB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AB">
        <w:rPr>
          <w:rFonts w:ascii="Times New Roman" w:hAnsi="Times New Roman" w:cs="Times New Roman"/>
          <w:sz w:val="24"/>
          <w:szCs w:val="24"/>
        </w:rPr>
        <w:t>Эти документы размещаются на электронной площадке, в соответствии с её регламентом, и нормами 44-ФЗ</w:t>
      </w:r>
      <w:r w:rsidR="00231539" w:rsidRPr="00231539">
        <w:rPr>
          <w:rFonts w:ascii="Times New Roman" w:hAnsi="Times New Roman" w:cs="Times New Roman"/>
          <w:sz w:val="24"/>
          <w:szCs w:val="24"/>
        </w:rPr>
        <w:t>/</w:t>
      </w:r>
    </w:p>
    <w:p w14:paraId="67CF7EE6" w14:textId="77777777" w:rsidR="00231539" w:rsidRPr="00136BF9" w:rsidRDefault="00231539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BF9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14:paraId="1E4436A4" w14:textId="77777777" w:rsidR="00231539" w:rsidRDefault="00231539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 xml:space="preserve">Согласно законодательству о госзакупках, понятие государственного или муниципального контракта по 44-ФЗ означает гражданско-правовой договор на поставку товара, выполнение работы или оказание услуги, заключенный между государственным (муниципальным) заказчиком и поставщиком. </w:t>
      </w:r>
      <w:r w:rsidRPr="00231539">
        <w:rPr>
          <w:rFonts w:ascii="Times New Roman" w:hAnsi="Times New Roman" w:cs="Times New Roman"/>
          <w:sz w:val="24"/>
          <w:szCs w:val="24"/>
        </w:rPr>
        <w:tab/>
        <w:t>Заказчик заключает контракт с победителем конкурентной закупочной процедуры или с единственным поставщиком.</w:t>
      </w:r>
    </w:p>
    <w:p w14:paraId="39F0F96F" w14:textId="77777777" w:rsidR="00231539" w:rsidRPr="00136BF9" w:rsidRDefault="00231539" w:rsidP="00E26EAB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BF9">
        <w:rPr>
          <w:rFonts w:ascii="Times New Roman" w:hAnsi="Times New Roman" w:cs="Times New Roman"/>
          <w:sz w:val="24"/>
          <w:szCs w:val="24"/>
          <w:u w:val="single"/>
        </w:rPr>
        <w:t>Порядок заключения контракта</w:t>
      </w:r>
    </w:p>
    <w:p w14:paraId="6C9DF894" w14:textId="77777777" w:rsidR="00231539" w:rsidRPr="00231539" w:rsidRDefault="00231539" w:rsidP="00231539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 xml:space="preserve">На первом этапе составляется проект контракта, который является частью закупочной документации. В него включаются все обязательные и дополнительные условия. </w:t>
      </w:r>
    </w:p>
    <w:p w14:paraId="03563D21" w14:textId="77777777" w:rsidR="00231539" w:rsidRPr="00231539" w:rsidRDefault="00231539" w:rsidP="00231539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>Когда процедура закупки состоялась и победитель определен, контракт дополняется новыми условиями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1539">
        <w:rPr>
          <w:rFonts w:ascii="Times New Roman" w:hAnsi="Times New Roman" w:cs="Times New Roman"/>
          <w:sz w:val="24"/>
          <w:szCs w:val="24"/>
        </w:rPr>
        <w:t xml:space="preserve"> наименованием и реквизитами исполнителя, ценой и предметом контракта. </w:t>
      </w:r>
    </w:p>
    <w:p w14:paraId="1E73DC1A" w14:textId="77777777" w:rsidR="00CD2307" w:rsidRDefault="00231539" w:rsidP="00CD2307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 xml:space="preserve">Затем он направляется поставщику, и тот, внеся обеспечение, подписывает его. </w:t>
      </w:r>
    </w:p>
    <w:p w14:paraId="5DCFA55D" w14:textId="77777777" w:rsidR="00CD2307" w:rsidRDefault="00CD2307" w:rsidP="00CD2307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07">
        <w:rPr>
          <w:rFonts w:ascii="Times New Roman" w:hAnsi="Times New Roman" w:cs="Times New Roman"/>
          <w:sz w:val="24"/>
          <w:szCs w:val="24"/>
        </w:rPr>
        <w:t>Для участия в государственных закупках любой потенциальный победитель тендера, помимо доказательства своей состоятельности путем обеспечения заявки, должен заранее подумать о том, каким образом исполнения контракта, в случае победы в торгах он будет вносить обеспечение.</w:t>
      </w:r>
    </w:p>
    <w:p w14:paraId="0207CB6A" w14:textId="77777777" w:rsidR="00231539" w:rsidRPr="00136BF9" w:rsidRDefault="00231539" w:rsidP="00CD2307">
      <w:pPr>
        <w:spacing w:before="60" w:after="6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BF9">
        <w:rPr>
          <w:rFonts w:ascii="Times New Roman" w:hAnsi="Times New Roman" w:cs="Times New Roman"/>
          <w:sz w:val="24"/>
          <w:szCs w:val="24"/>
          <w:u w:val="single"/>
        </w:rPr>
        <w:t xml:space="preserve">Правила подписания контракта </w:t>
      </w:r>
    </w:p>
    <w:p w14:paraId="001340D5" w14:textId="77777777" w:rsidR="00231539" w:rsidRPr="00231539" w:rsidRDefault="00231539" w:rsidP="00231539">
      <w:pPr>
        <w:numPr>
          <w:ilvl w:val="0"/>
          <w:numId w:val="6"/>
        </w:numPr>
        <w:spacing w:before="60" w:after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 xml:space="preserve">В настоящее время порядок оформления госконтракта по итогам конкурентной процедуры, в форме аукциона регулируется ст. 83.2 закона № 44-ФЗ. Далее представим сроки подписания контракта по 44-ФЗ после проведения электронном аукционе в таблице и расскажем, какие особенности нужно учесть. </w:t>
      </w:r>
    </w:p>
    <w:p w14:paraId="7DAADC02" w14:textId="77777777" w:rsidR="00231539" w:rsidRPr="00231539" w:rsidRDefault="00231539" w:rsidP="00231539">
      <w:pPr>
        <w:numPr>
          <w:ilvl w:val="0"/>
          <w:numId w:val="6"/>
        </w:numPr>
        <w:spacing w:before="60" w:after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>Публикация заказчиком проекта госконтракта - 5 дней с момента публикации итогового протокола в ЕИС</w:t>
      </w:r>
    </w:p>
    <w:p w14:paraId="1EC72525" w14:textId="77777777" w:rsidR="00231539" w:rsidRPr="00231539" w:rsidRDefault="00231539" w:rsidP="00231539">
      <w:pPr>
        <w:numPr>
          <w:ilvl w:val="0"/>
          <w:numId w:val="6"/>
        </w:numPr>
        <w:spacing w:before="60" w:after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>Подписание контракта поставщиком - 5 дней с момента опубликования проекта</w:t>
      </w:r>
    </w:p>
    <w:p w14:paraId="58E8BF0D" w14:textId="77777777" w:rsidR="00231539" w:rsidRPr="00231539" w:rsidRDefault="00231539" w:rsidP="00231539">
      <w:pPr>
        <w:numPr>
          <w:ilvl w:val="0"/>
          <w:numId w:val="6"/>
        </w:numPr>
        <w:spacing w:before="60" w:after="6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539">
        <w:rPr>
          <w:rFonts w:ascii="Times New Roman" w:hAnsi="Times New Roman" w:cs="Times New Roman"/>
          <w:sz w:val="24"/>
          <w:szCs w:val="24"/>
        </w:rPr>
        <w:t>Подписание госконтракта заказчиком - 3 рабочих дня с момента публикации контракта, подписанного победителем</w:t>
      </w:r>
    </w:p>
    <w:sectPr w:rsidR="00231539" w:rsidRPr="00231539" w:rsidSect="00E26EAB">
      <w:pgSz w:w="11906" w:h="16838"/>
      <w:pgMar w:top="907" w:right="720" w:bottom="107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591D"/>
    <w:multiLevelType w:val="hybridMultilevel"/>
    <w:tmpl w:val="CC5ECF00"/>
    <w:lvl w:ilvl="0" w:tplc="C3FE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2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4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42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83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A0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E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561757"/>
    <w:multiLevelType w:val="hybridMultilevel"/>
    <w:tmpl w:val="27B6F0B2"/>
    <w:lvl w:ilvl="0" w:tplc="663EB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A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A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4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1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E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9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702816"/>
    <w:multiLevelType w:val="hybridMultilevel"/>
    <w:tmpl w:val="3B1888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FDD129F"/>
    <w:multiLevelType w:val="hybridMultilevel"/>
    <w:tmpl w:val="3EBAEA2A"/>
    <w:lvl w:ilvl="0" w:tplc="098E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E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3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EE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2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1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7750BD"/>
    <w:multiLevelType w:val="hybridMultilevel"/>
    <w:tmpl w:val="2F4CBC56"/>
    <w:lvl w:ilvl="0" w:tplc="E41A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E9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8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E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44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E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AF372F"/>
    <w:multiLevelType w:val="hybridMultilevel"/>
    <w:tmpl w:val="7BA86088"/>
    <w:lvl w:ilvl="0" w:tplc="AFF0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45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8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D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F"/>
    <w:rsid w:val="00033185"/>
    <w:rsid w:val="00136BF9"/>
    <w:rsid w:val="00231539"/>
    <w:rsid w:val="003E18AF"/>
    <w:rsid w:val="003F4143"/>
    <w:rsid w:val="007D0827"/>
    <w:rsid w:val="00960AC6"/>
    <w:rsid w:val="009C1069"/>
    <w:rsid w:val="009D3D61"/>
    <w:rsid w:val="00CD2307"/>
    <w:rsid w:val="00E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F133"/>
  <w15:chartTrackingRefBased/>
  <w15:docId w15:val="{BBBC23AD-442F-44A4-AD8D-13E9F41D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8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18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60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download/downloadDocument.html?id=285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-kontur.ru/news/specscheta-otvety-na-voprosy-postavshhikov/" TargetMode="External"/><Relationship Id="rId12" Type="http://schemas.openxmlformats.org/officeDocument/2006/relationships/hyperlink" Target="https://44fzrf.ru/statya-14-federalnogo-zakona-ot-05-04-2013-44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-kontur.ru/news/specscheta-otvety-na-voprosy-postavshhikov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zakupki-kontur.ru/news/specscheta-otvety-na-voprosy-postavshhikov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SHIRIKOVA</dc:creator>
  <cp:keywords/>
  <dc:description/>
  <cp:lastModifiedBy>SHIRIKOVA</cp:lastModifiedBy>
  <cp:revision>7</cp:revision>
  <dcterms:created xsi:type="dcterms:W3CDTF">2020-02-10T08:09:00Z</dcterms:created>
  <dcterms:modified xsi:type="dcterms:W3CDTF">2020-04-16T09:25:00Z</dcterms:modified>
</cp:coreProperties>
</file>